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7B" w:rsidRPr="00007EEB" w:rsidRDefault="0099186D" w:rsidP="00042C7B">
      <w:pPr>
        <w:jc w:val="right"/>
        <w:rPr>
          <w:sz w:val="20"/>
        </w:rPr>
      </w:pPr>
      <w:r w:rsidRPr="00007EEB">
        <w:rPr>
          <w:b/>
          <w:noProof/>
          <w:sz w:val="36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2047875</wp:posOffset>
            </wp:positionH>
            <wp:positionV relativeFrom="margin">
              <wp:posOffset>-95250</wp:posOffset>
            </wp:positionV>
            <wp:extent cx="1190625" cy="84936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ts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49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Pr="00007EEB"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-163195</wp:posOffset>
            </wp:positionH>
            <wp:positionV relativeFrom="margin">
              <wp:posOffset>104775</wp:posOffset>
            </wp:positionV>
            <wp:extent cx="1590675" cy="5524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TRUS TSA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7598C" w:rsidRPr="00007EEB">
        <w:rPr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29715" cy="523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TA_Leav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8FB" w:rsidRPr="00007EEB" w:rsidRDefault="008658FB" w:rsidP="00042C7B">
      <w:pPr>
        <w:jc w:val="center"/>
        <w:rPr>
          <w:b/>
          <w:sz w:val="36"/>
        </w:rPr>
      </w:pPr>
    </w:p>
    <w:p w:rsidR="00D12BCA" w:rsidRPr="00D12BCA" w:rsidRDefault="00D12BCA" w:rsidP="0099186D">
      <w:pPr>
        <w:ind w:left="1440" w:firstLine="720"/>
        <w:rPr>
          <w:b/>
          <w:sz w:val="16"/>
        </w:rPr>
      </w:pPr>
    </w:p>
    <w:p w:rsidR="00E75EDE" w:rsidRPr="00007EEB" w:rsidRDefault="000C7B37" w:rsidP="0099186D">
      <w:pPr>
        <w:ind w:left="1440" w:firstLine="720"/>
        <w:rPr>
          <w:b/>
          <w:sz w:val="40"/>
        </w:rPr>
      </w:pPr>
      <w:r w:rsidRPr="00007EEB">
        <w:rPr>
          <w:b/>
          <w:sz w:val="40"/>
        </w:rPr>
        <w:t xml:space="preserve">NQT </w:t>
      </w:r>
      <w:r w:rsidR="00002D74">
        <w:rPr>
          <w:b/>
          <w:sz w:val="40"/>
        </w:rPr>
        <w:t xml:space="preserve">Secondary </w:t>
      </w:r>
      <w:r w:rsidRPr="00007EEB">
        <w:rPr>
          <w:b/>
          <w:sz w:val="40"/>
        </w:rPr>
        <w:t xml:space="preserve">CPD </w:t>
      </w:r>
      <w:r w:rsidR="008658FB" w:rsidRPr="00007EEB">
        <w:rPr>
          <w:b/>
          <w:sz w:val="40"/>
        </w:rPr>
        <w:t>2018-19</w:t>
      </w:r>
    </w:p>
    <w:p w:rsidR="00042C7B" w:rsidRPr="00007EEB" w:rsidRDefault="00042C7B" w:rsidP="008658FB">
      <w:pPr>
        <w:jc w:val="center"/>
        <w:rPr>
          <w:b/>
          <w:sz w:val="40"/>
        </w:rPr>
      </w:pPr>
      <w:r w:rsidRPr="00007EEB">
        <w:rPr>
          <w:b/>
          <w:sz w:val="40"/>
        </w:rPr>
        <w:t>Booking Form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007EEB" w:rsidRPr="00007EEB" w:rsidTr="00007EEB">
        <w:tc>
          <w:tcPr>
            <w:tcW w:w="4957" w:type="dxa"/>
          </w:tcPr>
          <w:p w:rsidR="00007EEB" w:rsidRPr="00007EEB" w:rsidRDefault="00007EEB" w:rsidP="00901428">
            <w:pPr>
              <w:rPr>
                <w:b/>
                <w:sz w:val="28"/>
              </w:rPr>
            </w:pPr>
            <w:r w:rsidRPr="00007EEB">
              <w:rPr>
                <w:b/>
                <w:sz w:val="28"/>
              </w:rPr>
              <w:t>School / MAT</w:t>
            </w:r>
          </w:p>
        </w:tc>
        <w:tc>
          <w:tcPr>
            <w:tcW w:w="4252" w:type="dxa"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</w:tr>
      <w:tr w:rsidR="00007EEB" w:rsidRPr="00007EEB" w:rsidTr="00007EEB">
        <w:tc>
          <w:tcPr>
            <w:tcW w:w="4957" w:type="dxa"/>
          </w:tcPr>
          <w:p w:rsidR="00007EEB" w:rsidRPr="00007EEB" w:rsidRDefault="00007EEB" w:rsidP="00901428">
            <w:pPr>
              <w:rPr>
                <w:b/>
                <w:sz w:val="28"/>
              </w:rPr>
            </w:pPr>
            <w:r w:rsidRPr="00007EEB">
              <w:rPr>
                <w:b/>
                <w:sz w:val="28"/>
              </w:rPr>
              <w:t>Billing Address</w:t>
            </w:r>
          </w:p>
          <w:p w:rsidR="00007EEB" w:rsidRPr="00007EEB" w:rsidRDefault="00007EEB" w:rsidP="00901428">
            <w:pPr>
              <w:rPr>
                <w:b/>
                <w:sz w:val="28"/>
              </w:rPr>
            </w:pPr>
          </w:p>
          <w:p w:rsidR="00007EEB" w:rsidRPr="00007EEB" w:rsidRDefault="00007EEB" w:rsidP="00901428">
            <w:pPr>
              <w:rPr>
                <w:b/>
                <w:sz w:val="28"/>
              </w:rPr>
            </w:pPr>
          </w:p>
        </w:tc>
        <w:tc>
          <w:tcPr>
            <w:tcW w:w="4252" w:type="dxa"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</w:tr>
      <w:tr w:rsidR="00007EEB" w:rsidRPr="00007EEB" w:rsidTr="00007EEB">
        <w:tc>
          <w:tcPr>
            <w:tcW w:w="4957" w:type="dxa"/>
          </w:tcPr>
          <w:p w:rsidR="00007EEB" w:rsidRPr="00007EEB" w:rsidRDefault="00007EEB" w:rsidP="00901428">
            <w:pPr>
              <w:rPr>
                <w:b/>
                <w:sz w:val="28"/>
              </w:rPr>
            </w:pPr>
            <w:r w:rsidRPr="00007EEB">
              <w:rPr>
                <w:b/>
                <w:sz w:val="28"/>
              </w:rPr>
              <w:t>Billing Contact Name</w:t>
            </w:r>
          </w:p>
        </w:tc>
        <w:tc>
          <w:tcPr>
            <w:tcW w:w="4252" w:type="dxa"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</w:tr>
      <w:tr w:rsidR="00007EEB" w:rsidRPr="00007EEB" w:rsidTr="00007EEB">
        <w:tc>
          <w:tcPr>
            <w:tcW w:w="4957" w:type="dxa"/>
          </w:tcPr>
          <w:p w:rsidR="00007EEB" w:rsidRPr="00007EEB" w:rsidRDefault="00007EEB" w:rsidP="00901428">
            <w:pPr>
              <w:rPr>
                <w:b/>
                <w:sz w:val="28"/>
              </w:rPr>
            </w:pPr>
            <w:r w:rsidRPr="00007EEB">
              <w:rPr>
                <w:b/>
                <w:sz w:val="28"/>
              </w:rPr>
              <w:t>Billing email address</w:t>
            </w:r>
          </w:p>
        </w:tc>
        <w:tc>
          <w:tcPr>
            <w:tcW w:w="4252" w:type="dxa"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</w:tr>
      <w:tr w:rsidR="00007EEB" w:rsidRPr="00007EEB" w:rsidTr="00007EEB">
        <w:tc>
          <w:tcPr>
            <w:tcW w:w="4957" w:type="dxa"/>
            <w:vMerge w:val="restart"/>
          </w:tcPr>
          <w:p w:rsidR="00007EEB" w:rsidRPr="00007EEB" w:rsidRDefault="00007EEB" w:rsidP="00042C7B">
            <w:pPr>
              <w:rPr>
                <w:b/>
                <w:sz w:val="28"/>
              </w:rPr>
            </w:pPr>
            <w:r w:rsidRPr="00007EEB">
              <w:rPr>
                <w:b/>
                <w:sz w:val="28"/>
              </w:rPr>
              <w:t>Delegate name</w:t>
            </w:r>
            <w:r>
              <w:rPr>
                <w:b/>
                <w:sz w:val="28"/>
              </w:rPr>
              <w:t>s</w:t>
            </w:r>
          </w:p>
        </w:tc>
        <w:tc>
          <w:tcPr>
            <w:tcW w:w="4252" w:type="dxa"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</w:tr>
      <w:tr w:rsidR="00007EEB" w:rsidRPr="00007EEB" w:rsidTr="00007EEB">
        <w:tc>
          <w:tcPr>
            <w:tcW w:w="4957" w:type="dxa"/>
            <w:vMerge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  <w:tc>
          <w:tcPr>
            <w:tcW w:w="4252" w:type="dxa"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</w:tr>
      <w:tr w:rsidR="00007EEB" w:rsidRPr="00007EEB" w:rsidTr="00007EEB">
        <w:tc>
          <w:tcPr>
            <w:tcW w:w="4957" w:type="dxa"/>
            <w:vMerge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  <w:tc>
          <w:tcPr>
            <w:tcW w:w="4252" w:type="dxa"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</w:tr>
      <w:tr w:rsidR="00007EEB" w:rsidRPr="00007EEB" w:rsidTr="00007EEB">
        <w:tc>
          <w:tcPr>
            <w:tcW w:w="4957" w:type="dxa"/>
            <w:vMerge w:val="restart"/>
          </w:tcPr>
          <w:p w:rsidR="00007EEB" w:rsidRPr="00007EEB" w:rsidRDefault="00007EEB" w:rsidP="00042C7B">
            <w:pPr>
              <w:rPr>
                <w:b/>
                <w:sz w:val="28"/>
              </w:rPr>
            </w:pPr>
            <w:r w:rsidRPr="00007EEB">
              <w:rPr>
                <w:b/>
                <w:sz w:val="28"/>
              </w:rPr>
              <w:t>Delegate email addresses</w:t>
            </w:r>
          </w:p>
        </w:tc>
        <w:tc>
          <w:tcPr>
            <w:tcW w:w="4252" w:type="dxa"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</w:tr>
      <w:tr w:rsidR="00007EEB" w:rsidRPr="00007EEB" w:rsidTr="00007EEB">
        <w:tc>
          <w:tcPr>
            <w:tcW w:w="4957" w:type="dxa"/>
            <w:vMerge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  <w:tc>
          <w:tcPr>
            <w:tcW w:w="4252" w:type="dxa"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</w:tr>
      <w:tr w:rsidR="00007EEB" w:rsidRPr="00007EEB" w:rsidTr="00007EEB">
        <w:tc>
          <w:tcPr>
            <w:tcW w:w="4957" w:type="dxa"/>
            <w:vMerge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  <w:tc>
          <w:tcPr>
            <w:tcW w:w="4252" w:type="dxa"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</w:tr>
      <w:tr w:rsidR="00007EEB" w:rsidRPr="00007EEB" w:rsidTr="00007EEB">
        <w:tc>
          <w:tcPr>
            <w:tcW w:w="4957" w:type="dxa"/>
          </w:tcPr>
          <w:p w:rsidR="00007EEB" w:rsidRPr="00007EEB" w:rsidRDefault="00007EEB" w:rsidP="008658FB">
            <w:r w:rsidRPr="00007EEB">
              <w:rPr>
                <w:b/>
                <w:sz w:val="28"/>
              </w:rPr>
              <w:t xml:space="preserve">Dietary requirements </w:t>
            </w:r>
            <w:r w:rsidRPr="00007EEB">
              <w:rPr>
                <w:b/>
                <w:sz w:val="28"/>
              </w:rPr>
              <w:br/>
            </w:r>
            <w:r w:rsidRPr="00007EEB">
              <w:t>Please provide details for each NQT as necessary</w:t>
            </w:r>
          </w:p>
        </w:tc>
        <w:tc>
          <w:tcPr>
            <w:tcW w:w="4252" w:type="dxa"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</w:tr>
      <w:tr w:rsidR="00007EEB" w:rsidRPr="00007EEB" w:rsidTr="00007EEB">
        <w:tc>
          <w:tcPr>
            <w:tcW w:w="4957" w:type="dxa"/>
          </w:tcPr>
          <w:p w:rsidR="00007EEB" w:rsidRPr="00007EEB" w:rsidRDefault="00007EEB" w:rsidP="00042C7B">
            <w:pPr>
              <w:rPr>
                <w:b/>
                <w:sz w:val="28"/>
              </w:rPr>
            </w:pPr>
            <w:r w:rsidRPr="00007EEB">
              <w:rPr>
                <w:b/>
                <w:sz w:val="28"/>
              </w:rPr>
              <w:t>CPD Package to be booked:</w:t>
            </w:r>
          </w:p>
        </w:tc>
        <w:tc>
          <w:tcPr>
            <w:tcW w:w="4252" w:type="dxa"/>
          </w:tcPr>
          <w:p w:rsidR="00007EEB" w:rsidRPr="00007EEB" w:rsidRDefault="00007EEB" w:rsidP="00042C7B">
            <w:pPr>
              <w:rPr>
                <w:b/>
                <w:sz w:val="28"/>
              </w:rPr>
            </w:pPr>
            <w:r w:rsidRPr="00007EEB">
              <w:rPr>
                <w:b/>
                <w:sz w:val="28"/>
              </w:rPr>
              <w:t>Number of NQT places:</w:t>
            </w:r>
          </w:p>
        </w:tc>
      </w:tr>
      <w:tr w:rsidR="00BD7DE6" w:rsidRPr="00007EEB" w:rsidTr="00654340">
        <w:tc>
          <w:tcPr>
            <w:tcW w:w="4957" w:type="dxa"/>
          </w:tcPr>
          <w:p w:rsidR="00BD7DE6" w:rsidRDefault="00BD7DE6" w:rsidP="00042C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NQT Conference </w:t>
            </w:r>
          </w:p>
          <w:p w:rsidR="00BD7DE6" w:rsidRPr="00BD7DE6" w:rsidRDefault="00BD7DE6" w:rsidP="00042C7B">
            <w:pPr>
              <w:rPr>
                <w:sz w:val="24"/>
              </w:rPr>
            </w:pPr>
            <w:r>
              <w:rPr>
                <w:sz w:val="24"/>
              </w:rPr>
              <w:t>Free for NQTs registered with NQT South West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BD7DE6" w:rsidRPr="00007EEB" w:rsidRDefault="00BD7DE6" w:rsidP="00042C7B">
            <w:pPr>
              <w:rPr>
                <w:b/>
                <w:sz w:val="28"/>
              </w:rPr>
            </w:pPr>
          </w:p>
        </w:tc>
      </w:tr>
      <w:tr w:rsidR="00007EEB" w:rsidRPr="00007EEB" w:rsidTr="00007EEB">
        <w:tc>
          <w:tcPr>
            <w:tcW w:w="4957" w:type="dxa"/>
          </w:tcPr>
          <w:p w:rsidR="00007EEB" w:rsidRPr="00007EEB" w:rsidRDefault="00002D74" w:rsidP="008658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Secondary</w:t>
            </w:r>
            <w:r w:rsidR="00007EEB" w:rsidRPr="00007EEB">
              <w:rPr>
                <w:b/>
                <w:sz w:val="28"/>
              </w:rPr>
              <w:t xml:space="preserve"> CPD </w:t>
            </w:r>
          </w:p>
        </w:tc>
        <w:tc>
          <w:tcPr>
            <w:tcW w:w="4252" w:type="dxa"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</w:tr>
      <w:tr w:rsidR="00007EEB" w:rsidRPr="00007EEB" w:rsidTr="00007EEB">
        <w:tc>
          <w:tcPr>
            <w:tcW w:w="4957" w:type="dxa"/>
          </w:tcPr>
          <w:p w:rsidR="00007EEB" w:rsidRPr="00007EEB" w:rsidRDefault="00002D74" w:rsidP="00002D74">
            <w:pPr>
              <w:rPr>
                <w:sz w:val="24"/>
              </w:rPr>
            </w:pPr>
            <w:r w:rsidRPr="0099339F">
              <w:rPr>
                <w:b/>
                <w:sz w:val="24"/>
              </w:rPr>
              <w:t>Session 1: Effective behaviour management</w:t>
            </w:r>
            <w:r>
              <w:rPr>
                <w:sz w:val="24"/>
              </w:rPr>
              <w:br/>
              <w:t>22 November 2018</w:t>
            </w:r>
            <w:r>
              <w:rPr>
                <w:sz w:val="24"/>
              </w:rPr>
              <w:br/>
              <w:t>£60 per NQT</w:t>
            </w:r>
          </w:p>
        </w:tc>
        <w:tc>
          <w:tcPr>
            <w:tcW w:w="4252" w:type="dxa"/>
          </w:tcPr>
          <w:p w:rsidR="00007EEB" w:rsidRPr="00007EEB" w:rsidRDefault="00007EEB" w:rsidP="00042C7B">
            <w:pPr>
              <w:rPr>
                <w:b/>
                <w:sz w:val="28"/>
              </w:rPr>
            </w:pPr>
          </w:p>
        </w:tc>
      </w:tr>
      <w:tr w:rsidR="00007EEB" w:rsidRPr="00007EEB" w:rsidTr="00007EEB">
        <w:tc>
          <w:tcPr>
            <w:tcW w:w="4957" w:type="dxa"/>
          </w:tcPr>
          <w:p w:rsidR="00007EEB" w:rsidRPr="0099339F" w:rsidRDefault="00002D74" w:rsidP="00DC5E43">
            <w:pPr>
              <w:rPr>
                <w:b/>
                <w:sz w:val="24"/>
              </w:rPr>
            </w:pPr>
            <w:r w:rsidRPr="0099339F">
              <w:rPr>
                <w:b/>
                <w:sz w:val="24"/>
              </w:rPr>
              <w:t>Session 2: Literacy</w:t>
            </w:r>
          </w:p>
          <w:p w:rsidR="00002D74" w:rsidRDefault="00002D74" w:rsidP="00DC5E43">
            <w:pPr>
              <w:rPr>
                <w:sz w:val="24"/>
              </w:rPr>
            </w:pPr>
            <w:r>
              <w:rPr>
                <w:sz w:val="24"/>
              </w:rPr>
              <w:t>7 February 2019</w:t>
            </w:r>
          </w:p>
          <w:p w:rsidR="00002D74" w:rsidRPr="00007EEB" w:rsidRDefault="00002D74" w:rsidP="00DC5E43">
            <w:pPr>
              <w:rPr>
                <w:sz w:val="24"/>
              </w:rPr>
            </w:pPr>
            <w:r>
              <w:rPr>
                <w:sz w:val="24"/>
              </w:rPr>
              <w:t>£60 per NQT</w:t>
            </w:r>
          </w:p>
        </w:tc>
        <w:tc>
          <w:tcPr>
            <w:tcW w:w="4252" w:type="dxa"/>
          </w:tcPr>
          <w:p w:rsidR="00007EEB" w:rsidRPr="00007EEB" w:rsidRDefault="00007EEB" w:rsidP="00042C7B">
            <w:pPr>
              <w:rPr>
                <w:b/>
                <w:sz w:val="24"/>
              </w:rPr>
            </w:pPr>
          </w:p>
        </w:tc>
      </w:tr>
      <w:tr w:rsidR="00002D74" w:rsidRPr="00007EEB" w:rsidTr="00007EEB">
        <w:tc>
          <w:tcPr>
            <w:tcW w:w="4957" w:type="dxa"/>
          </w:tcPr>
          <w:p w:rsidR="00002D74" w:rsidRPr="0099339F" w:rsidRDefault="00002D74" w:rsidP="00DC5E43">
            <w:pPr>
              <w:rPr>
                <w:b/>
                <w:sz w:val="24"/>
              </w:rPr>
            </w:pPr>
            <w:r w:rsidRPr="0099339F">
              <w:rPr>
                <w:b/>
                <w:sz w:val="24"/>
              </w:rPr>
              <w:t>Session 3: School subject visits</w:t>
            </w:r>
          </w:p>
          <w:p w:rsidR="00002D74" w:rsidRDefault="00002D74" w:rsidP="00DC5E43">
            <w:pPr>
              <w:rPr>
                <w:sz w:val="24"/>
              </w:rPr>
            </w:pPr>
            <w:r>
              <w:rPr>
                <w:sz w:val="24"/>
              </w:rPr>
              <w:t>Dates TBC</w:t>
            </w:r>
          </w:p>
          <w:p w:rsidR="00002D74" w:rsidRDefault="00002D74" w:rsidP="00DC5E43">
            <w:pPr>
              <w:rPr>
                <w:sz w:val="24"/>
              </w:rPr>
            </w:pPr>
            <w:r>
              <w:rPr>
                <w:sz w:val="24"/>
              </w:rPr>
              <w:t>£30 per NQT</w:t>
            </w:r>
          </w:p>
        </w:tc>
        <w:tc>
          <w:tcPr>
            <w:tcW w:w="4252" w:type="dxa"/>
          </w:tcPr>
          <w:p w:rsidR="00002D74" w:rsidRPr="00007EEB" w:rsidRDefault="00002D74" w:rsidP="00042C7B">
            <w:pPr>
              <w:rPr>
                <w:b/>
                <w:sz w:val="24"/>
              </w:rPr>
            </w:pPr>
          </w:p>
        </w:tc>
      </w:tr>
      <w:tr w:rsidR="00002D74" w:rsidRPr="00007EEB" w:rsidTr="00007EEB">
        <w:tc>
          <w:tcPr>
            <w:tcW w:w="4957" w:type="dxa"/>
          </w:tcPr>
          <w:p w:rsidR="00002D74" w:rsidRPr="0099339F" w:rsidRDefault="00002D74" w:rsidP="00002D74">
            <w:pPr>
              <w:rPr>
                <w:b/>
                <w:sz w:val="24"/>
              </w:rPr>
            </w:pPr>
            <w:r w:rsidRPr="0099339F">
              <w:rPr>
                <w:b/>
                <w:sz w:val="24"/>
              </w:rPr>
              <w:t>Session 4: Marking and data</w:t>
            </w:r>
          </w:p>
          <w:p w:rsidR="00002D74" w:rsidRDefault="00002D74" w:rsidP="00002D74">
            <w:pPr>
              <w:rPr>
                <w:sz w:val="24"/>
              </w:rPr>
            </w:pPr>
            <w:r>
              <w:rPr>
                <w:sz w:val="24"/>
              </w:rPr>
              <w:t>14 May 2019</w:t>
            </w:r>
          </w:p>
          <w:p w:rsidR="00002D74" w:rsidRDefault="00002D74" w:rsidP="00002D74">
            <w:pPr>
              <w:rPr>
                <w:sz w:val="24"/>
              </w:rPr>
            </w:pPr>
            <w:r>
              <w:rPr>
                <w:sz w:val="24"/>
              </w:rPr>
              <w:t xml:space="preserve">£60 per NQT </w:t>
            </w:r>
          </w:p>
        </w:tc>
        <w:tc>
          <w:tcPr>
            <w:tcW w:w="4252" w:type="dxa"/>
          </w:tcPr>
          <w:p w:rsidR="00002D74" w:rsidRPr="00007EEB" w:rsidRDefault="00002D74" w:rsidP="00042C7B">
            <w:pPr>
              <w:rPr>
                <w:b/>
                <w:sz w:val="24"/>
              </w:rPr>
            </w:pPr>
          </w:p>
        </w:tc>
      </w:tr>
      <w:tr w:rsidR="00002D74" w:rsidRPr="00007EEB" w:rsidTr="00007EEB">
        <w:tc>
          <w:tcPr>
            <w:tcW w:w="4957" w:type="dxa"/>
          </w:tcPr>
          <w:p w:rsidR="00002D74" w:rsidRPr="0099339F" w:rsidRDefault="00002D74" w:rsidP="00DC5E43">
            <w:pPr>
              <w:rPr>
                <w:b/>
                <w:sz w:val="24"/>
              </w:rPr>
            </w:pPr>
            <w:r w:rsidRPr="0099339F">
              <w:rPr>
                <w:b/>
                <w:sz w:val="24"/>
              </w:rPr>
              <w:t>Session 5: Assessment and differentiation</w:t>
            </w:r>
          </w:p>
          <w:p w:rsidR="00002D74" w:rsidRDefault="00002D74" w:rsidP="00DC5E43">
            <w:pPr>
              <w:rPr>
                <w:sz w:val="24"/>
              </w:rPr>
            </w:pPr>
            <w:r>
              <w:rPr>
                <w:sz w:val="24"/>
              </w:rPr>
              <w:t>4 June 2019</w:t>
            </w:r>
          </w:p>
          <w:p w:rsidR="00002D74" w:rsidRDefault="00002D74" w:rsidP="00DC5E43">
            <w:pPr>
              <w:rPr>
                <w:sz w:val="24"/>
              </w:rPr>
            </w:pPr>
            <w:r>
              <w:rPr>
                <w:sz w:val="24"/>
              </w:rPr>
              <w:t>£120 per NQT</w:t>
            </w:r>
          </w:p>
        </w:tc>
        <w:tc>
          <w:tcPr>
            <w:tcW w:w="4252" w:type="dxa"/>
          </w:tcPr>
          <w:p w:rsidR="00002D74" w:rsidRPr="00007EEB" w:rsidRDefault="00002D74" w:rsidP="00042C7B">
            <w:pPr>
              <w:rPr>
                <w:b/>
                <w:sz w:val="24"/>
              </w:rPr>
            </w:pPr>
          </w:p>
        </w:tc>
      </w:tr>
      <w:tr w:rsidR="0099339F" w:rsidRPr="00007EEB" w:rsidTr="0099339F">
        <w:trPr>
          <w:trHeight w:val="188"/>
        </w:trPr>
        <w:tc>
          <w:tcPr>
            <w:tcW w:w="4957" w:type="dxa"/>
          </w:tcPr>
          <w:p w:rsidR="0099339F" w:rsidRPr="0099339F" w:rsidRDefault="0099339F" w:rsidP="00042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cost:</w:t>
            </w:r>
          </w:p>
        </w:tc>
        <w:tc>
          <w:tcPr>
            <w:tcW w:w="4252" w:type="dxa"/>
          </w:tcPr>
          <w:p w:rsidR="0099339F" w:rsidRPr="0099339F" w:rsidRDefault="0099339F" w:rsidP="00042C7B">
            <w:pPr>
              <w:rPr>
                <w:b/>
                <w:sz w:val="24"/>
                <w:szCs w:val="24"/>
              </w:rPr>
            </w:pPr>
          </w:p>
        </w:tc>
      </w:tr>
    </w:tbl>
    <w:p w:rsidR="00A753FD" w:rsidRPr="00007EEB" w:rsidRDefault="00A753FD" w:rsidP="00042C7B">
      <w:pPr>
        <w:rPr>
          <w:b/>
          <w:color w:val="FF00FF"/>
          <w:sz w:val="14"/>
          <w:szCs w:val="16"/>
        </w:rPr>
      </w:pPr>
    </w:p>
    <w:p w:rsidR="00715261" w:rsidRPr="00007EEB" w:rsidRDefault="00DF1CF2" w:rsidP="00042C7B">
      <w:pPr>
        <w:rPr>
          <w:rStyle w:val="Hyperlink"/>
          <w:color w:val="auto"/>
          <w:u w:val="none"/>
        </w:rPr>
      </w:pPr>
      <w:r w:rsidRPr="00007EEB">
        <w:rPr>
          <w:rStyle w:val="Hyperlink"/>
          <w:b/>
          <w:color w:val="auto"/>
          <w:u w:val="none"/>
        </w:rPr>
        <w:t xml:space="preserve">Cancellations: </w:t>
      </w:r>
      <w:r w:rsidR="00E015E5" w:rsidRPr="00007EEB">
        <w:rPr>
          <w:rStyle w:val="Hyperlink"/>
          <w:color w:val="auto"/>
          <w:u w:val="none"/>
        </w:rPr>
        <w:t>If you wish to cancel your booking</w:t>
      </w:r>
      <w:r w:rsidR="008F1C26" w:rsidRPr="00007EEB">
        <w:rPr>
          <w:rStyle w:val="Hyperlink"/>
          <w:color w:val="auto"/>
          <w:u w:val="none"/>
        </w:rPr>
        <w:t>,</w:t>
      </w:r>
      <w:r w:rsidR="00E015E5" w:rsidRPr="00007EEB">
        <w:rPr>
          <w:rStyle w:val="Hyperlink"/>
          <w:color w:val="auto"/>
          <w:u w:val="none"/>
        </w:rPr>
        <w:t xml:space="preserve"> please notify us in writing or by email as soon as possible. You will be required to pay 50% of the course cost for cancellations made within two weeks of the course and 100% payment for cancellations made within 5 working days.</w:t>
      </w:r>
    </w:p>
    <w:p w:rsidR="00A647EE" w:rsidRPr="00007EEB" w:rsidRDefault="00FC71E0" w:rsidP="00042C7B">
      <w:r w:rsidRPr="00007EEB">
        <w:rPr>
          <w:rStyle w:val="Hyperlink"/>
          <w:b/>
          <w:color w:val="auto"/>
          <w:u w:val="none"/>
        </w:rPr>
        <w:t>Non-</w:t>
      </w:r>
      <w:r w:rsidR="00A647EE" w:rsidRPr="00007EEB">
        <w:rPr>
          <w:rStyle w:val="Hyperlink"/>
          <w:b/>
          <w:color w:val="auto"/>
          <w:u w:val="none"/>
        </w:rPr>
        <w:t xml:space="preserve">attendance: </w:t>
      </w:r>
      <w:r w:rsidR="00A647EE" w:rsidRPr="00007EEB">
        <w:rPr>
          <w:rStyle w:val="Hyperlink"/>
          <w:color w:val="auto"/>
          <w:u w:val="none"/>
        </w:rPr>
        <w:t xml:space="preserve">If you are unable to attend this training event due to unforeseen circumstances </w:t>
      </w:r>
      <w:r w:rsidRPr="00007EEB">
        <w:rPr>
          <w:rStyle w:val="Hyperlink"/>
          <w:color w:val="auto"/>
          <w:u w:val="none"/>
        </w:rPr>
        <w:t xml:space="preserve">on the day </w:t>
      </w:r>
      <w:r w:rsidR="00A647EE" w:rsidRPr="00007EEB">
        <w:rPr>
          <w:rStyle w:val="Hyperlink"/>
          <w:color w:val="auto"/>
          <w:u w:val="none"/>
        </w:rPr>
        <w:t>please let us know as soon as possible. An admin</w:t>
      </w:r>
      <w:r w:rsidRPr="00007EEB">
        <w:rPr>
          <w:rStyle w:val="Hyperlink"/>
          <w:color w:val="auto"/>
          <w:u w:val="none"/>
        </w:rPr>
        <w:t>istration</w:t>
      </w:r>
      <w:r w:rsidR="00A647EE" w:rsidRPr="00007EEB">
        <w:rPr>
          <w:rStyle w:val="Hyperlink"/>
          <w:color w:val="auto"/>
          <w:u w:val="none"/>
        </w:rPr>
        <w:t xml:space="preserve"> fee may be payable in such cases. </w:t>
      </w:r>
    </w:p>
    <w:p w:rsidR="00A24B24" w:rsidRPr="0099339F" w:rsidRDefault="00DA130D" w:rsidP="00042C7B">
      <w:pPr>
        <w:rPr>
          <w:sz w:val="28"/>
        </w:rPr>
      </w:pPr>
      <w:r w:rsidRPr="0099339F">
        <w:rPr>
          <w:sz w:val="28"/>
        </w:rPr>
        <w:t xml:space="preserve">Please return this booking form to: </w:t>
      </w:r>
      <w:hyperlink r:id="rId7" w:history="1">
        <w:r w:rsidR="008658FB" w:rsidRPr="0099339F">
          <w:rPr>
            <w:rStyle w:val="Hyperlink"/>
            <w:sz w:val="28"/>
          </w:rPr>
          <w:t>admin@nqtsouthwest.org.uk</w:t>
        </w:r>
      </w:hyperlink>
    </w:p>
    <w:sectPr w:rsidR="00A24B24" w:rsidRPr="0099339F" w:rsidSect="00D12BCA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B"/>
    <w:rsid w:val="00002D74"/>
    <w:rsid w:val="000067AC"/>
    <w:rsid w:val="00007EEB"/>
    <w:rsid w:val="00042C7B"/>
    <w:rsid w:val="000C7B37"/>
    <w:rsid w:val="00142468"/>
    <w:rsid w:val="001A6A49"/>
    <w:rsid w:val="00274578"/>
    <w:rsid w:val="002A4E1C"/>
    <w:rsid w:val="00530D3F"/>
    <w:rsid w:val="00654340"/>
    <w:rsid w:val="00715261"/>
    <w:rsid w:val="008658FB"/>
    <w:rsid w:val="008F1C26"/>
    <w:rsid w:val="00901428"/>
    <w:rsid w:val="0093010A"/>
    <w:rsid w:val="0099186D"/>
    <w:rsid w:val="0099339F"/>
    <w:rsid w:val="00A24B24"/>
    <w:rsid w:val="00A55F9C"/>
    <w:rsid w:val="00A647EE"/>
    <w:rsid w:val="00A753FD"/>
    <w:rsid w:val="00AB593E"/>
    <w:rsid w:val="00AC44BF"/>
    <w:rsid w:val="00B00607"/>
    <w:rsid w:val="00B44A10"/>
    <w:rsid w:val="00BD7DE6"/>
    <w:rsid w:val="00C7598C"/>
    <w:rsid w:val="00D12BCA"/>
    <w:rsid w:val="00D22A29"/>
    <w:rsid w:val="00D31C2A"/>
    <w:rsid w:val="00DA130D"/>
    <w:rsid w:val="00DC5E43"/>
    <w:rsid w:val="00DF1CF2"/>
    <w:rsid w:val="00E015E5"/>
    <w:rsid w:val="00E01922"/>
    <w:rsid w:val="00E75EDE"/>
    <w:rsid w:val="00E9180A"/>
    <w:rsid w:val="00EE230E"/>
    <w:rsid w:val="00F632F2"/>
    <w:rsid w:val="00FB2620"/>
    <w:rsid w:val="00FC71E0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7561"/>
  <w15:chartTrackingRefBased/>
  <w15:docId w15:val="{9B4F2279-10D2-45A9-9E48-58D6CED9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4B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uffculmeschool\filestore\FinanceAreas\MaksymczukL\NQT\NQT%20CPD%202018-19\admin@nqtsouthwe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Academy Trust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Maksymczuk</dc:creator>
  <cp:keywords/>
  <dc:description/>
  <cp:lastModifiedBy>Laura Maksymczuk</cp:lastModifiedBy>
  <cp:revision>6</cp:revision>
  <dcterms:created xsi:type="dcterms:W3CDTF">2018-09-27T10:04:00Z</dcterms:created>
  <dcterms:modified xsi:type="dcterms:W3CDTF">2018-09-27T10:19:00Z</dcterms:modified>
</cp:coreProperties>
</file>