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14D1C" w14:textId="73583EE6" w:rsidR="001C2BF2" w:rsidRDefault="003F18E9">
      <w:pPr>
        <w:rPr>
          <w:rFonts w:cstheme="minorHAnsi"/>
          <w:sz w:val="40"/>
          <w:szCs w:val="40"/>
        </w:rPr>
      </w:pPr>
      <w:r>
        <w:rPr>
          <w:rFonts w:eastAsia="Times New Roman" w:cstheme="minorHAnsi"/>
          <w:noProof/>
          <w:color w:val="444444"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4ECAAEDB" wp14:editId="4C59871F">
            <wp:simplePos x="0" y="0"/>
            <wp:positionH relativeFrom="column">
              <wp:posOffset>3893820</wp:posOffset>
            </wp:positionH>
            <wp:positionV relativeFrom="paragraph">
              <wp:posOffset>-695325</wp:posOffset>
            </wp:positionV>
            <wp:extent cx="2566678" cy="8763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TA_Leav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8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B8CB8" w14:textId="1D20D0D2" w:rsidR="00FA6D50" w:rsidRDefault="00FA6D5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Dear Colleague </w:t>
      </w:r>
    </w:p>
    <w:p w14:paraId="2EA57907" w14:textId="51EDD43C" w:rsidR="00FA6D50" w:rsidRDefault="00FA6D5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Specialist Leaders in Education (SLEs)</w:t>
      </w:r>
    </w:p>
    <w:p w14:paraId="3B7AD0AC" w14:textId="13B8809B" w:rsidR="007B4F7B" w:rsidRDefault="007B4F7B" w:rsidP="007B4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West Country Teaching School Alliance is currently offering outstanding middle an</w:t>
      </w:r>
      <w:r w:rsidR="00206768">
        <w:rPr>
          <w:rFonts w:cstheme="minorHAnsi"/>
          <w:sz w:val="24"/>
          <w:szCs w:val="24"/>
        </w:rPr>
        <w:t>d senior leaders the chance</w:t>
      </w:r>
      <w:r>
        <w:rPr>
          <w:rFonts w:cstheme="minorHAnsi"/>
          <w:sz w:val="24"/>
          <w:szCs w:val="24"/>
        </w:rPr>
        <w:t xml:space="preserve"> to become an SLE.  This is a great opportunity to become part of a network of outstanding leaders who are committed to improving outcomes for all children.</w:t>
      </w:r>
    </w:p>
    <w:p w14:paraId="71A42694" w14:textId="77777777" w:rsidR="007B4F7B" w:rsidRDefault="007B4F7B" w:rsidP="007B4F7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an SLE?</w:t>
      </w:r>
    </w:p>
    <w:p w14:paraId="0EF7C283" w14:textId="3BE51D40" w:rsidR="00FA6D50" w:rsidRPr="00FA6D50" w:rsidRDefault="007B4F7B" w:rsidP="007B4F7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SLEs are outstanding middle and senior leaders in positions below the headteacher, with at least two years’ leadership experience. They have a particular area of expertise and a successful track record of school improvement. </w:t>
      </w:r>
      <w:r w:rsidR="00FA6D50">
        <w:rPr>
          <w:rFonts w:cstheme="minorHAnsi"/>
          <w:sz w:val="24"/>
          <w:szCs w:val="24"/>
        </w:rPr>
        <w:t xml:space="preserve">The role of an SLE is to support </w:t>
      </w:r>
      <w:r w:rsidR="00206768">
        <w:rPr>
          <w:rFonts w:cstheme="minorHAnsi"/>
          <w:sz w:val="24"/>
          <w:szCs w:val="24"/>
        </w:rPr>
        <w:t xml:space="preserve">leaders in other schools. As an SLE you will equip these leaders </w:t>
      </w:r>
      <w:r w:rsidR="00C865AC">
        <w:rPr>
          <w:rFonts w:cstheme="minorHAnsi"/>
          <w:sz w:val="24"/>
          <w:szCs w:val="24"/>
        </w:rPr>
        <w:t xml:space="preserve">with the skills and knowledge they need to lead their own teams and improve practice in their own schools. </w:t>
      </w:r>
      <w:r>
        <w:rPr>
          <w:rFonts w:cstheme="minorHAnsi"/>
          <w:sz w:val="24"/>
          <w:szCs w:val="24"/>
        </w:rPr>
        <w:t xml:space="preserve">This can be done through a variety of activities and </w:t>
      </w:r>
      <w:r w:rsidR="00FA6D50">
        <w:rPr>
          <w:rFonts w:cstheme="minorHAnsi"/>
          <w:sz w:val="24"/>
          <w:szCs w:val="24"/>
        </w:rPr>
        <w:t xml:space="preserve">could involve one-to-one peer coaching, joint action planning or </w:t>
      </w:r>
      <w:r w:rsidR="00C865AC">
        <w:rPr>
          <w:rFonts w:cstheme="minorHAnsi"/>
          <w:sz w:val="24"/>
          <w:szCs w:val="24"/>
        </w:rPr>
        <w:t xml:space="preserve">support with data analysis. </w:t>
      </w:r>
    </w:p>
    <w:p w14:paraId="2102B44F" w14:textId="48A16E26" w:rsidR="00D33A97" w:rsidRDefault="008120D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are the expectations?</w:t>
      </w:r>
    </w:p>
    <w:p w14:paraId="339A7C5B" w14:textId="686CFB38" w:rsidR="008120DD" w:rsidRDefault="008120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an SLE you will be required to deliver outreach support. You must therefore have the support of your headteacher</w:t>
      </w:r>
      <w:r w:rsidR="00790002">
        <w:rPr>
          <w:rFonts w:cstheme="minorHAnsi"/>
          <w:sz w:val="24"/>
          <w:szCs w:val="24"/>
        </w:rPr>
        <w:t xml:space="preserve">. Please check prior to application that your school </w:t>
      </w:r>
      <w:r>
        <w:rPr>
          <w:rFonts w:cstheme="minorHAnsi"/>
          <w:sz w:val="24"/>
          <w:szCs w:val="24"/>
        </w:rPr>
        <w:t xml:space="preserve">has the capacity to release you for a minimum of ten days per academic year </w:t>
      </w:r>
      <w:r w:rsidR="00790002">
        <w:rPr>
          <w:rFonts w:cstheme="minorHAnsi"/>
          <w:sz w:val="24"/>
          <w:szCs w:val="24"/>
        </w:rPr>
        <w:t xml:space="preserve">to work with other schools. </w:t>
      </w:r>
      <w:r>
        <w:rPr>
          <w:rFonts w:cstheme="minorHAnsi"/>
          <w:sz w:val="24"/>
          <w:szCs w:val="24"/>
        </w:rPr>
        <w:t xml:space="preserve"> </w:t>
      </w:r>
    </w:p>
    <w:p w14:paraId="37EE9412" w14:textId="020F97F7" w:rsidR="005203A2" w:rsidRDefault="005203A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addition to providing school-to-school support SLEs may be required to:</w:t>
      </w:r>
    </w:p>
    <w:p w14:paraId="2B458B8A" w14:textId="71E8AFCF" w:rsidR="005203A2" w:rsidRDefault="005203A2" w:rsidP="005203A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 and deliver CPD both within and across schools</w:t>
      </w:r>
    </w:p>
    <w:p w14:paraId="7BC68C27" w14:textId="671D0E8D" w:rsidR="005203A2" w:rsidRDefault="005203A2" w:rsidP="005203A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Lead subject networks</w:t>
      </w:r>
    </w:p>
    <w:p w14:paraId="60C412DC" w14:textId="682E6984" w:rsidR="005203A2" w:rsidRDefault="005203A2" w:rsidP="005203A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Support the delivery of ITT </w:t>
      </w:r>
    </w:p>
    <w:p w14:paraId="5792DA6C" w14:textId="1DADBAA1" w:rsidR="005203A2" w:rsidRDefault="005203A2" w:rsidP="005203A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Act as a coach for NQTs or RQTs</w:t>
      </w:r>
    </w:p>
    <w:p w14:paraId="2CDD709B" w14:textId="37405319" w:rsidR="005203A2" w:rsidRPr="005203A2" w:rsidRDefault="005203A2" w:rsidP="005203A2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Engage in research projects</w:t>
      </w:r>
    </w:p>
    <w:p w14:paraId="12B879A0" w14:textId="282A6ADD" w:rsidR="00790002" w:rsidRDefault="0079000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are the benefits?</w:t>
      </w:r>
    </w:p>
    <w:p w14:paraId="5AB12B96" w14:textId="330613F0" w:rsidR="002E0D80" w:rsidRDefault="002E0D80" w:rsidP="002E0D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SLEs e</w:t>
      </w:r>
      <w:r w:rsidR="000129B0">
        <w:rPr>
          <w:rFonts w:cstheme="minorHAnsi"/>
          <w:sz w:val="24"/>
          <w:szCs w:val="24"/>
        </w:rPr>
        <w:t>ncapsulate the principle of a teaching school alliance –shar</w:t>
      </w:r>
      <w:r>
        <w:rPr>
          <w:rFonts w:cstheme="minorHAnsi"/>
          <w:sz w:val="24"/>
          <w:szCs w:val="24"/>
        </w:rPr>
        <w:t>ing</w:t>
      </w:r>
      <w:r w:rsidR="000129B0">
        <w:rPr>
          <w:rFonts w:cstheme="minorHAnsi"/>
          <w:sz w:val="24"/>
          <w:szCs w:val="24"/>
        </w:rPr>
        <w:t xml:space="preserve"> knowledge and best practice so other teachers and schools improve. </w:t>
      </w:r>
      <w:r>
        <w:rPr>
          <w:rFonts w:cstheme="minorHAnsi"/>
          <w:sz w:val="24"/>
          <w:szCs w:val="24"/>
        </w:rPr>
        <w:t>There are many benefits to becoming an SLE, including:</w:t>
      </w:r>
    </w:p>
    <w:p w14:paraId="1BE9C34D" w14:textId="7BC549E7" w:rsidR="00206768" w:rsidRPr="002E0D80" w:rsidRDefault="00206768" w:rsidP="002E0D80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2E0D80">
        <w:rPr>
          <w:rFonts w:cstheme="minorHAnsi"/>
          <w:sz w:val="24"/>
          <w:szCs w:val="24"/>
        </w:rPr>
        <w:t>The opportunity to engage in research to develop your own knowledge and skills.</w:t>
      </w:r>
    </w:p>
    <w:p w14:paraId="5DB69A1D" w14:textId="4041051B" w:rsidR="00206768" w:rsidRPr="0086255E" w:rsidRDefault="00206768" w:rsidP="0020676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6255E">
        <w:rPr>
          <w:rFonts w:cstheme="minorHAnsi"/>
          <w:sz w:val="24"/>
          <w:szCs w:val="24"/>
        </w:rPr>
        <w:t xml:space="preserve">The chance to be part of a school-led system of improving education through sharing your expertise. </w:t>
      </w:r>
    </w:p>
    <w:p w14:paraId="68DDF1A9" w14:textId="1DBCA3C7" w:rsidR="00206768" w:rsidRPr="0086255E" w:rsidRDefault="00206768" w:rsidP="00206768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6255E">
        <w:rPr>
          <w:rFonts w:cstheme="minorHAnsi"/>
          <w:sz w:val="24"/>
          <w:szCs w:val="24"/>
        </w:rPr>
        <w:t xml:space="preserve">The opportunity to </w:t>
      </w:r>
      <w:r w:rsidR="0086255E" w:rsidRPr="0086255E">
        <w:rPr>
          <w:rFonts w:cstheme="minorHAnsi"/>
          <w:sz w:val="24"/>
          <w:szCs w:val="24"/>
        </w:rPr>
        <w:t xml:space="preserve">network and </w:t>
      </w:r>
      <w:r w:rsidRPr="0086255E">
        <w:rPr>
          <w:rFonts w:cstheme="minorHAnsi"/>
          <w:sz w:val="24"/>
          <w:szCs w:val="24"/>
        </w:rPr>
        <w:t>learn from effective practice in other schools.</w:t>
      </w:r>
    </w:p>
    <w:p w14:paraId="5DABF331" w14:textId="59934CBF" w:rsidR="0086255E" w:rsidRPr="0086255E" w:rsidRDefault="00206768" w:rsidP="0086255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6255E">
        <w:rPr>
          <w:rFonts w:cstheme="minorHAnsi"/>
          <w:sz w:val="24"/>
          <w:szCs w:val="24"/>
        </w:rPr>
        <w:t xml:space="preserve">The chance to deepen your own leadership skills through </w:t>
      </w:r>
      <w:r w:rsidR="002E0D80">
        <w:rPr>
          <w:rFonts w:cstheme="minorHAnsi"/>
          <w:sz w:val="24"/>
          <w:szCs w:val="24"/>
        </w:rPr>
        <w:t xml:space="preserve">developing your own coaching and facilitation skills. </w:t>
      </w:r>
    </w:p>
    <w:p w14:paraId="6738338A" w14:textId="5BBC30E0" w:rsidR="007B4F7B" w:rsidRPr="0086255E" w:rsidRDefault="0086255E" w:rsidP="0086255E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86255E">
        <w:rPr>
          <w:rFonts w:cstheme="minorHAnsi"/>
          <w:sz w:val="24"/>
          <w:szCs w:val="24"/>
        </w:rPr>
        <w:t xml:space="preserve">Excellent experience, including working across a range of schools, to support your own career development. </w:t>
      </w:r>
    </w:p>
    <w:p w14:paraId="39F364C6" w14:textId="4829457B" w:rsidR="000129B0" w:rsidRPr="000129B0" w:rsidRDefault="005203A2" w:rsidP="00A0151F">
      <w:pPr>
        <w:rPr>
          <w:rFonts w:ascii="Open Sans" w:eastAsia="Times New Roman" w:hAnsi="Open Sans" w:cs="Times New Roman"/>
          <w:color w:val="666666"/>
          <w:sz w:val="21"/>
          <w:szCs w:val="21"/>
          <w:lang w:eastAsia="en-GB"/>
        </w:rPr>
      </w:pPr>
      <w:r w:rsidRPr="005203A2">
        <w:rPr>
          <w:rFonts w:cstheme="minorHAnsi"/>
          <w:sz w:val="24"/>
          <w:szCs w:val="24"/>
        </w:rPr>
        <w:lastRenderedPageBreak/>
        <w:t xml:space="preserve">For schools </w:t>
      </w:r>
      <w:r w:rsidR="002E0D80" w:rsidRPr="005203A2">
        <w:rPr>
          <w:rFonts w:cstheme="minorHAnsi"/>
          <w:sz w:val="24"/>
          <w:szCs w:val="24"/>
        </w:rPr>
        <w:t xml:space="preserve">this is a great opportunity to retain outstanding professionals by providing them with </w:t>
      </w:r>
      <w:r w:rsidRPr="005203A2">
        <w:rPr>
          <w:rFonts w:cstheme="minorHAnsi"/>
          <w:sz w:val="24"/>
          <w:szCs w:val="24"/>
        </w:rPr>
        <w:t>a new and exciting opportunity to work with colleagues in a range of different contexts and in a variety of ways.</w:t>
      </w:r>
      <w:r w:rsidR="00A0151F">
        <w:rPr>
          <w:rFonts w:cstheme="minorHAnsi"/>
          <w:sz w:val="24"/>
          <w:szCs w:val="24"/>
        </w:rPr>
        <w:t xml:space="preserve"> They will also develop skills and knowledge that can benefit their own school. </w:t>
      </w:r>
    </w:p>
    <w:p w14:paraId="6D5AEAB3" w14:textId="32711C93" w:rsidR="00206768" w:rsidRPr="0086255E" w:rsidRDefault="00206768" w:rsidP="00C34379">
      <w:pPr>
        <w:tabs>
          <w:tab w:val="left" w:pos="2633"/>
        </w:tabs>
        <w:rPr>
          <w:rFonts w:cstheme="minorHAnsi"/>
          <w:b/>
          <w:sz w:val="24"/>
          <w:szCs w:val="24"/>
        </w:rPr>
      </w:pPr>
      <w:r w:rsidRPr="0086255E">
        <w:rPr>
          <w:rFonts w:cstheme="minorHAnsi"/>
          <w:b/>
          <w:sz w:val="24"/>
          <w:szCs w:val="24"/>
        </w:rPr>
        <w:t xml:space="preserve">Funding </w:t>
      </w:r>
    </w:p>
    <w:p w14:paraId="53EACEB6" w14:textId="1F252040" w:rsidR="00206768" w:rsidRPr="00206768" w:rsidRDefault="00206768" w:rsidP="0086255E">
      <w:pPr>
        <w:rPr>
          <w:rFonts w:cstheme="minorHAnsi"/>
          <w:sz w:val="24"/>
          <w:szCs w:val="24"/>
        </w:rPr>
      </w:pPr>
      <w:r w:rsidRPr="00206768">
        <w:rPr>
          <w:rFonts w:cstheme="minorHAnsi"/>
          <w:sz w:val="24"/>
          <w:szCs w:val="24"/>
        </w:rPr>
        <w:t>SLEs are unsalaried roles. Schools requesting SLE support will be charged for the service to cover the costs</w:t>
      </w:r>
      <w:r w:rsidR="0086255E">
        <w:rPr>
          <w:rFonts w:cstheme="minorHAnsi"/>
          <w:sz w:val="24"/>
          <w:szCs w:val="24"/>
        </w:rPr>
        <w:t xml:space="preserve"> incurred by the SLE’s school. </w:t>
      </w:r>
      <w:r w:rsidR="00840150">
        <w:rPr>
          <w:rFonts w:cstheme="minorHAnsi"/>
          <w:sz w:val="24"/>
          <w:szCs w:val="24"/>
        </w:rPr>
        <w:t xml:space="preserve">Schools releasing SLEs will be paid either a daily rate of £300 or an agreed fee for longer deployments. </w:t>
      </w:r>
    </w:p>
    <w:p w14:paraId="7208F55B" w14:textId="77777777" w:rsidR="00206768" w:rsidRPr="0086255E" w:rsidRDefault="00206768" w:rsidP="00206768">
      <w:pPr>
        <w:rPr>
          <w:rFonts w:cstheme="minorHAnsi"/>
          <w:b/>
          <w:sz w:val="24"/>
          <w:szCs w:val="24"/>
        </w:rPr>
      </w:pPr>
      <w:r w:rsidRPr="0086255E">
        <w:rPr>
          <w:rFonts w:cstheme="minorHAnsi"/>
          <w:b/>
          <w:sz w:val="24"/>
          <w:szCs w:val="24"/>
        </w:rPr>
        <w:t xml:space="preserve">Phase 1 Recruitment  </w:t>
      </w:r>
    </w:p>
    <w:p w14:paraId="4BDBEF4C" w14:textId="5291069F" w:rsidR="5AEF6248" w:rsidRDefault="4AC3AD89">
      <w:r w:rsidRPr="4AC3AD89">
        <w:rPr>
          <w:rFonts w:eastAsiaTheme="minorEastAsia"/>
          <w:sz w:val="24"/>
          <w:szCs w:val="24"/>
        </w:rPr>
        <w:t xml:space="preserve">In the first instance the WCTSA is looking to recruit a minimum of eight SLEs. </w:t>
      </w:r>
      <w:r w:rsidRPr="4AC3AD89">
        <w:rPr>
          <w:rFonts w:ascii="Calibri" w:eastAsia="Calibri" w:hAnsi="Calibri" w:cs="Calibri"/>
          <w:sz w:val="24"/>
          <w:szCs w:val="24"/>
        </w:rPr>
        <w:t>Our aim is to provide a general teaching and learning coach, which can be for either primary or secondary, as well as be able to provide support for pupil achievement in one or more specialist areas: English, Mathematics, Science and MFL. Please note that we would be open to discussing potential SLEs for other subjects / areas of leadership. Please contact us to discuss options.</w:t>
      </w:r>
    </w:p>
    <w:p w14:paraId="79B103D8" w14:textId="39492D2A" w:rsidR="5AEF6248" w:rsidRDefault="5AEF6248">
      <w:r w:rsidRPr="5AEF6248">
        <w:rPr>
          <w:rFonts w:ascii="Calibri" w:eastAsia="Calibri" w:hAnsi="Calibri" w:cs="Calibri"/>
          <w:b/>
          <w:bCs/>
          <w:sz w:val="24"/>
          <w:szCs w:val="24"/>
        </w:rPr>
        <w:t>Timeline for Recruitment, Designation and Training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5AEF6248" w14:paraId="652AF22B" w14:textId="77777777" w:rsidTr="5AEF6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7878640D" w14:textId="1CEA9A38" w:rsidR="5AEF6248" w:rsidRDefault="5AEF6248" w:rsidP="5AEF6248">
            <w:r w:rsidRPr="5AEF6248">
              <w:rPr>
                <w:rFonts w:ascii="Calibri" w:eastAsia="Calibri" w:hAnsi="Calibri" w:cs="Calibri"/>
                <w:sz w:val="24"/>
                <w:szCs w:val="24"/>
              </w:rPr>
              <w:t>What</w:t>
            </w:r>
          </w:p>
        </w:tc>
        <w:tc>
          <w:tcPr>
            <w:tcW w:w="4513" w:type="dxa"/>
          </w:tcPr>
          <w:p w14:paraId="5D137568" w14:textId="3F16CBC6" w:rsidR="5AEF6248" w:rsidRDefault="5AEF6248" w:rsidP="5AEF6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AEF6248">
              <w:rPr>
                <w:rFonts w:ascii="Calibri" w:eastAsia="Calibri" w:hAnsi="Calibri" w:cs="Calibri"/>
                <w:sz w:val="24"/>
                <w:szCs w:val="24"/>
              </w:rPr>
              <w:t>When</w:t>
            </w:r>
          </w:p>
        </w:tc>
      </w:tr>
      <w:tr w:rsidR="5AEF6248" w14:paraId="10322B0C" w14:textId="77777777" w:rsidTr="5AEF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27913860" w14:textId="5EF42D5F" w:rsidR="5AEF6248" w:rsidRDefault="5AEF6248" w:rsidP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Deadline for applications</w:t>
            </w:r>
          </w:p>
        </w:tc>
        <w:tc>
          <w:tcPr>
            <w:tcW w:w="4513" w:type="dxa"/>
          </w:tcPr>
          <w:p w14:paraId="3E6DDDB8" w14:textId="630EBDCF" w:rsidR="5AEF6248" w:rsidRDefault="000F012B" w:rsidP="000F01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5pm Thursday 27</w:t>
            </w:r>
            <w:r w:rsidR="006004FB">
              <w:rPr>
                <w:rFonts w:ascii="Calibri" w:eastAsia="Calibri" w:hAnsi="Calibri" w:cs="Calibri"/>
                <w:sz w:val="24"/>
                <w:szCs w:val="24"/>
              </w:rPr>
              <w:t xml:space="preserve"> April 2017</w:t>
            </w:r>
          </w:p>
        </w:tc>
      </w:tr>
      <w:tr w:rsidR="5AEF6248" w14:paraId="2BC0C1DB" w14:textId="77777777" w:rsidTr="5AEF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5F277E0" w14:textId="04D3C785" w:rsidR="5AEF6248" w:rsidRDefault="5AEF6248" w:rsidP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Shortlisting</w:t>
            </w:r>
          </w:p>
        </w:tc>
        <w:tc>
          <w:tcPr>
            <w:tcW w:w="4513" w:type="dxa"/>
          </w:tcPr>
          <w:p w14:paraId="17C0FC70" w14:textId="7459D115" w:rsidR="5AEF6248" w:rsidRDefault="006004FB" w:rsidP="006004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Friday 28 April 2017</w:t>
            </w:r>
          </w:p>
        </w:tc>
      </w:tr>
      <w:tr w:rsidR="5AEF6248" w14:paraId="18FA2979" w14:textId="77777777" w:rsidTr="5AEF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678CE1BB" w14:textId="7A5B95D3" w:rsidR="5AEF6248" w:rsidRDefault="5AEF6248" w:rsidP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Assessment day</w:t>
            </w:r>
          </w:p>
        </w:tc>
        <w:tc>
          <w:tcPr>
            <w:tcW w:w="4513" w:type="dxa"/>
          </w:tcPr>
          <w:p w14:paraId="4B3C4AFA" w14:textId="1C276937" w:rsidR="5AEF6248" w:rsidRDefault="006D3B24" w:rsidP="5AEF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TBC</w:t>
            </w:r>
          </w:p>
        </w:tc>
      </w:tr>
      <w:tr w:rsidR="5AEF6248" w14:paraId="225FDA19" w14:textId="77777777" w:rsidTr="5AEF62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14:paraId="00C0A6AD" w14:textId="515B22F4" w:rsidR="5AEF6248" w:rsidRDefault="5AEF6248" w:rsidP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Deployment</w:t>
            </w:r>
          </w:p>
        </w:tc>
        <w:tc>
          <w:tcPr>
            <w:tcW w:w="4513" w:type="dxa"/>
          </w:tcPr>
          <w:p w14:paraId="34656A5E" w14:textId="3F316E26" w:rsidR="5AEF6248" w:rsidRDefault="006004FB" w:rsidP="5AEF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Calibri" w:eastAsia="Calibri" w:hAnsi="Calibri" w:cs="Calibri"/>
                <w:sz w:val="24"/>
                <w:szCs w:val="24"/>
              </w:rPr>
              <w:t>From June</w:t>
            </w:r>
            <w:r w:rsidR="5AEF6248" w:rsidRPr="5AEF6248">
              <w:rPr>
                <w:rFonts w:ascii="Calibri" w:eastAsia="Calibri" w:hAnsi="Calibri" w:cs="Calibri"/>
                <w:sz w:val="24"/>
                <w:szCs w:val="24"/>
              </w:rPr>
              <w:t xml:space="preserve"> 2017</w:t>
            </w:r>
          </w:p>
        </w:tc>
      </w:tr>
    </w:tbl>
    <w:p w14:paraId="5BD62EB5" w14:textId="56F891CC" w:rsidR="5AEF6248" w:rsidRDefault="4AC3AD89" w:rsidP="4AC3AD89">
      <w:r w:rsidRPr="4AC3AD89">
        <w:rPr>
          <w:rFonts w:ascii="Calibri" w:eastAsia="Calibri" w:hAnsi="Calibri" w:cs="Calibri"/>
          <w:b/>
          <w:bCs/>
          <w:sz w:val="24"/>
          <w:szCs w:val="24"/>
        </w:rPr>
        <w:t>Key Documents and Further Information</w:t>
      </w:r>
    </w:p>
    <w:tbl>
      <w:tblPr>
        <w:tblStyle w:val="GridTable1Light-Accent1"/>
        <w:tblW w:w="9000" w:type="dxa"/>
        <w:tblLook w:val="04A0" w:firstRow="1" w:lastRow="0" w:firstColumn="1" w:lastColumn="0" w:noHBand="0" w:noVBand="1"/>
        <w:tblCaption w:val=""/>
        <w:tblDescription w:val=""/>
      </w:tblPr>
      <w:tblGrid>
        <w:gridCol w:w="4020"/>
        <w:gridCol w:w="4980"/>
      </w:tblGrid>
      <w:tr w:rsidR="5AEF6248" w14:paraId="651C330A" w14:textId="77777777" w:rsidTr="129391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E5A1657" w14:textId="79465F8B" w:rsidR="5AEF6248" w:rsidRDefault="5AEF6248" w:rsidP="5AEF6248">
            <w:r w:rsidRPr="5AEF6248">
              <w:rPr>
                <w:rFonts w:ascii="Calibri" w:eastAsia="Calibri" w:hAnsi="Calibri" w:cs="Calibri"/>
                <w:sz w:val="24"/>
                <w:szCs w:val="24"/>
              </w:rPr>
              <w:t>Document</w:t>
            </w:r>
          </w:p>
        </w:tc>
        <w:tc>
          <w:tcPr>
            <w:tcW w:w="4980" w:type="dxa"/>
          </w:tcPr>
          <w:p w14:paraId="7EDFEBDC" w14:textId="7F1171C9" w:rsidR="5AEF6248" w:rsidRDefault="5AEF6248" w:rsidP="5AEF62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5AEF6248">
              <w:rPr>
                <w:rFonts w:ascii="Calibri" w:eastAsia="Calibri" w:hAnsi="Calibri" w:cs="Calibri"/>
                <w:sz w:val="24"/>
                <w:szCs w:val="24"/>
              </w:rPr>
              <w:t>Where to find this</w:t>
            </w:r>
          </w:p>
        </w:tc>
      </w:tr>
      <w:tr w:rsidR="5AEF6248" w14:paraId="52F562D1" w14:textId="77777777" w:rsidTr="12939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7799D1F2" w14:textId="347EACB5" w:rsidR="5AEF6248" w:rsidRDefault="5AEF6248" w:rsidP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SLE Application Guidance</w:t>
            </w:r>
          </w:p>
        </w:tc>
        <w:tc>
          <w:tcPr>
            <w:tcW w:w="4980" w:type="dxa"/>
          </w:tcPr>
          <w:p w14:paraId="4C51144F" w14:textId="1C6F54A0" w:rsidR="5AEF6248" w:rsidRDefault="5AEF6248" w:rsidP="5AEF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EF6248">
              <w:rPr>
                <w:rFonts w:ascii="Calibri" w:eastAsia="Calibri" w:hAnsi="Calibri" w:cs="Calibri"/>
                <w:sz w:val="24"/>
                <w:szCs w:val="24"/>
              </w:rPr>
              <w:t>Enclosed</w:t>
            </w:r>
          </w:p>
        </w:tc>
      </w:tr>
      <w:tr w:rsidR="5AEF6248" w14:paraId="505E0EFF" w14:textId="77777777" w:rsidTr="12939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79FB17" w14:textId="26D033AF" w:rsidR="5AEF6248" w:rsidRDefault="5AEF6248" w:rsidP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SLE Application and Reference</w:t>
            </w:r>
          </w:p>
        </w:tc>
        <w:tc>
          <w:tcPr>
            <w:tcW w:w="4980" w:type="dxa"/>
          </w:tcPr>
          <w:p w14:paraId="29186E95" w14:textId="1CF3583B" w:rsidR="5AEF6248" w:rsidRDefault="5AEF6248" w:rsidP="5AEF62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5AEF6248">
              <w:rPr>
                <w:rFonts w:ascii="Calibri" w:eastAsia="Calibri" w:hAnsi="Calibri" w:cs="Calibri"/>
                <w:sz w:val="24"/>
                <w:szCs w:val="24"/>
              </w:rPr>
              <w:t>Enclosed</w:t>
            </w:r>
          </w:p>
        </w:tc>
      </w:tr>
      <w:tr w:rsidR="5AEF6248" w14:paraId="21CDFFE9" w14:textId="77777777" w:rsidTr="129391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5D0D10D6" w14:textId="60C153A2" w:rsidR="5AEF6248" w:rsidRDefault="5AEF6248">
            <w:r w:rsidRPr="5AEF6248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Online Guide for Potential Applicants</w:t>
            </w:r>
          </w:p>
        </w:tc>
        <w:tc>
          <w:tcPr>
            <w:tcW w:w="4980" w:type="dxa"/>
          </w:tcPr>
          <w:p w14:paraId="2AFF7831" w14:textId="7B62ED57" w:rsidR="5AEF6248" w:rsidRDefault="00E57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 w:rsidR="5AEF6248" w:rsidRPr="5AEF6248">
                <w:rPr>
                  <w:rStyle w:val="Hyperlink"/>
                  <w:rFonts w:eastAsiaTheme="minorEastAsia"/>
                  <w:sz w:val="24"/>
                  <w:szCs w:val="24"/>
                </w:rPr>
                <w:t>https://www.gov.uk/guidance/specialist-leaders-of-education-a-guide-for-potential-applicants</w:t>
              </w:r>
            </w:hyperlink>
          </w:p>
        </w:tc>
      </w:tr>
    </w:tbl>
    <w:p w14:paraId="5387217E" w14:textId="77777777" w:rsidR="00C609CA" w:rsidRDefault="00C609CA">
      <w:pPr>
        <w:rPr>
          <w:rFonts w:eastAsiaTheme="minorEastAsia"/>
          <w:sz w:val="24"/>
          <w:szCs w:val="24"/>
        </w:rPr>
      </w:pPr>
    </w:p>
    <w:p w14:paraId="212FCC54" w14:textId="2908D95A" w:rsidR="5AEF6248" w:rsidRDefault="5AEF6248">
      <w:r w:rsidRPr="5AEF6248">
        <w:rPr>
          <w:rFonts w:eastAsiaTheme="minorEastAsia"/>
          <w:sz w:val="24"/>
          <w:szCs w:val="24"/>
        </w:rPr>
        <w:t xml:space="preserve">If you have any further enquiries please contact me by email: </w:t>
      </w:r>
      <w:hyperlink r:id="rId10">
        <w:r w:rsidRPr="5AEF6248">
          <w:rPr>
            <w:rStyle w:val="Hyperlink"/>
            <w:rFonts w:eastAsiaTheme="minorEastAsia"/>
            <w:sz w:val="24"/>
            <w:szCs w:val="24"/>
          </w:rPr>
          <w:t>sarajacobs@wctsa.org</w:t>
        </w:r>
      </w:hyperlink>
      <w:r w:rsidRPr="5AEF6248">
        <w:rPr>
          <w:rFonts w:eastAsiaTheme="minorEastAsia"/>
          <w:sz w:val="24"/>
          <w:szCs w:val="24"/>
        </w:rPr>
        <w:t xml:space="preserve"> or on 01884 842908/</w:t>
      </w:r>
      <w:r w:rsidRPr="5AEF6248">
        <w:rPr>
          <w:sz w:val="24"/>
          <w:szCs w:val="24"/>
        </w:rPr>
        <w:t>07816480738.</w:t>
      </w:r>
    </w:p>
    <w:p w14:paraId="76E4D979" w14:textId="4D0D4C31" w:rsidR="5AEF6248" w:rsidRDefault="5AEF6248">
      <w:r w:rsidRPr="5AEF6248">
        <w:rPr>
          <w:sz w:val="24"/>
          <w:szCs w:val="24"/>
        </w:rPr>
        <w:t>Yours faithfully,</w:t>
      </w:r>
    </w:p>
    <w:p w14:paraId="315C4CB7" w14:textId="57FF2EC7" w:rsidR="5AEF6248" w:rsidRDefault="5AEF6248"/>
    <w:p w14:paraId="35E22CA9" w14:textId="0F99BA31" w:rsidR="5AEF6248" w:rsidRDefault="5AEF6248">
      <w:r w:rsidRPr="5AEF6248">
        <w:rPr>
          <w:sz w:val="24"/>
          <w:szCs w:val="24"/>
        </w:rPr>
        <w:t>Sara Jacobs</w:t>
      </w:r>
    </w:p>
    <w:p w14:paraId="3C92AC59" w14:textId="791BD268" w:rsidR="00D33A97" w:rsidRPr="00206768" w:rsidRDefault="5AEF6248">
      <w:pPr>
        <w:rPr>
          <w:rFonts w:cstheme="minorHAnsi"/>
          <w:sz w:val="24"/>
          <w:szCs w:val="24"/>
        </w:rPr>
      </w:pPr>
      <w:r w:rsidRPr="5AEF6248">
        <w:rPr>
          <w:sz w:val="24"/>
          <w:szCs w:val="24"/>
        </w:rPr>
        <w:t>Director, West Country Teaching School Alliance</w:t>
      </w:r>
      <w:bookmarkStart w:id="0" w:name="_GoBack"/>
      <w:bookmarkEnd w:id="0"/>
    </w:p>
    <w:sectPr w:rsidR="00D33A97" w:rsidRPr="00206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40B8"/>
    <w:multiLevelType w:val="hybridMultilevel"/>
    <w:tmpl w:val="4B3C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AB3"/>
    <w:multiLevelType w:val="multilevel"/>
    <w:tmpl w:val="D4D6C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F18BA"/>
    <w:multiLevelType w:val="hybridMultilevel"/>
    <w:tmpl w:val="C5AE2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67474"/>
    <w:multiLevelType w:val="hybridMultilevel"/>
    <w:tmpl w:val="C8B6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44185"/>
    <w:multiLevelType w:val="hybridMultilevel"/>
    <w:tmpl w:val="8514D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72256"/>
    <w:multiLevelType w:val="multilevel"/>
    <w:tmpl w:val="01F4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216833"/>
    <w:multiLevelType w:val="hybridMultilevel"/>
    <w:tmpl w:val="166EE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4"/>
    <w:rsid w:val="000129B0"/>
    <w:rsid w:val="000F012B"/>
    <w:rsid w:val="001C2BF2"/>
    <w:rsid w:val="00206768"/>
    <w:rsid w:val="002378FC"/>
    <w:rsid w:val="00295F86"/>
    <w:rsid w:val="002E0D80"/>
    <w:rsid w:val="002E6A14"/>
    <w:rsid w:val="0037506A"/>
    <w:rsid w:val="003F18E9"/>
    <w:rsid w:val="005203A2"/>
    <w:rsid w:val="00547555"/>
    <w:rsid w:val="006004FB"/>
    <w:rsid w:val="006845DB"/>
    <w:rsid w:val="006B6C99"/>
    <w:rsid w:val="006D3B24"/>
    <w:rsid w:val="006E39B4"/>
    <w:rsid w:val="006E4CEE"/>
    <w:rsid w:val="00790002"/>
    <w:rsid w:val="007B4F7B"/>
    <w:rsid w:val="008120DD"/>
    <w:rsid w:val="00840150"/>
    <w:rsid w:val="0086255E"/>
    <w:rsid w:val="009D621B"/>
    <w:rsid w:val="00A0151F"/>
    <w:rsid w:val="00A534E1"/>
    <w:rsid w:val="00C34379"/>
    <w:rsid w:val="00C609CA"/>
    <w:rsid w:val="00C865AC"/>
    <w:rsid w:val="00D33A97"/>
    <w:rsid w:val="00D412FE"/>
    <w:rsid w:val="00E57903"/>
    <w:rsid w:val="00FA6D50"/>
    <w:rsid w:val="12939163"/>
    <w:rsid w:val="1887F920"/>
    <w:rsid w:val="4AC3AD89"/>
    <w:rsid w:val="5AE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203A2"/>
  <w15:chartTrackingRefBased/>
  <w15:docId w15:val="{46C2F37E-BCFB-44FE-8E5E-F2EB1F1A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9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39B4"/>
    <w:pPr>
      <w:spacing w:before="336" w:after="336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412FE"/>
    <w:rPr>
      <w:color w:val="0000FF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6769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55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59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2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31733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155419421">
                  <w:marLeft w:val="0"/>
                  <w:marRight w:val="0"/>
                  <w:marTop w:val="100"/>
                  <w:marBottom w:val="10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8479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9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5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06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958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65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76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arajacobs@wctsa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specialist-leaders-of-education-a-guide-for-potential-applic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0746413636D44F93ADBAA2C8DA0D18" ma:contentTypeVersion="0" ma:contentTypeDescription="Create a new document." ma:contentTypeScope="" ma:versionID="c4c33822de7ccbdacd49b2dbe89eb7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21DACF-BE68-4D8E-912B-A2F5BCD171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8D1E8-AFB2-469C-AD72-44332C4E313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9249AE1-B03B-46D4-8170-69510C0501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Jacobs</dc:creator>
  <cp:keywords/>
  <dc:description/>
  <cp:lastModifiedBy>Laura Maksymczuk</cp:lastModifiedBy>
  <cp:revision>12</cp:revision>
  <dcterms:created xsi:type="dcterms:W3CDTF">2016-10-06T15:45:00Z</dcterms:created>
  <dcterms:modified xsi:type="dcterms:W3CDTF">2017-03-24T09:37:00Z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0x010100520746413636D44F93ADBAA2C8DA0D18</vt:lpwstr>
  </property>
</Properties>
</file>